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614A" w14:textId="0B155DEE"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083997">
        <w:rPr>
          <w:rFonts w:ascii="Invesco Interstate Bold" w:hAnsi="Invesco Interstate Bold"/>
          <w:b/>
          <w:bCs/>
          <w:sz w:val="28"/>
          <w:szCs w:val="28"/>
        </w:rPr>
        <w:t xml:space="preserve">Rostoucí výnosy státních dluhopisů, klesající ceny ropy a jestřábí řeči </w:t>
      </w:r>
      <w:proofErr w:type="spellStart"/>
      <w:r w:rsidR="00083997">
        <w:rPr>
          <w:rFonts w:ascii="Invesco Interstate Bold" w:hAnsi="Invesco Interstate Bold"/>
          <w:b/>
          <w:bCs/>
          <w:sz w:val="28"/>
          <w:szCs w:val="28"/>
        </w:rPr>
        <w:t>FEDu</w:t>
      </w:r>
      <w:proofErr w:type="spellEnd"/>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 xml:space="preserve">Komentář Kristiny </w:t>
      </w:r>
      <w:proofErr w:type="spellStart"/>
      <w:r w:rsidRPr="001F6A31">
        <w:rPr>
          <w:rFonts w:ascii="Invesco Interstate Bold" w:hAnsi="Invesco Interstate Bold"/>
          <w:b/>
          <w:bCs/>
          <w:sz w:val="24"/>
          <w:szCs w:val="24"/>
        </w:rPr>
        <w:t>Hooper</w:t>
      </w:r>
      <w:proofErr w:type="spellEnd"/>
      <w:r w:rsidRPr="001F6A31">
        <w:rPr>
          <w:rFonts w:ascii="Invesco Interstate Bold" w:hAnsi="Invesco Interstate Bold"/>
          <w:b/>
          <w:bCs/>
          <w:sz w:val="24"/>
          <w:szCs w:val="24"/>
        </w:rPr>
        <w:t xml:space="preserve">, vedoucí stratéžky pro globální trhy, </w:t>
      </w:r>
      <w:proofErr w:type="spellStart"/>
      <w:r w:rsidRPr="001F6A31">
        <w:rPr>
          <w:rFonts w:ascii="Invesco Interstate Bold" w:hAnsi="Invesco Interstate Bold"/>
          <w:b/>
          <w:bCs/>
          <w:sz w:val="24"/>
          <w:szCs w:val="24"/>
        </w:rPr>
        <w:t>Invesco</w:t>
      </w:r>
      <w:proofErr w:type="spellEnd"/>
      <w:r w:rsidRPr="001F6A31">
        <w:rPr>
          <w:rFonts w:ascii="Invesco Interstate Bold" w:hAnsi="Invesco Interstate Bold"/>
          <w:b/>
          <w:bCs/>
          <w:sz w:val="24"/>
          <w:szCs w:val="24"/>
        </w:rPr>
        <w:t xml:space="preserve"> Ltd.</w:t>
      </w:r>
    </w:p>
    <w:p w14:paraId="16E0A274" w14:textId="77777777" w:rsidR="00083997" w:rsidRDefault="00083997" w:rsidP="00083997">
      <w:pPr>
        <w:spacing w:before="100" w:beforeAutospacing="1" w:after="100" w:afterAutospacing="1" w:line="276" w:lineRule="auto"/>
        <w:jc w:val="both"/>
        <w:rPr>
          <w:rFonts w:ascii="Invesco Interstate Light" w:eastAsiaTheme="minorEastAsia" w:hAnsi="Invesco Interstate Light"/>
          <w:b/>
          <w:bCs/>
          <w:sz w:val="22"/>
          <w:szCs w:val="22"/>
        </w:rPr>
      </w:pPr>
      <w:r>
        <w:rPr>
          <w:rFonts w:ascii="Invesco Interstate Light" w:eastAsiaTheme="minorEastAsia" w:hAnsi="Invesco Interstate Light"/>
          <w:b/>
          <w:bCs/>
          <w:sz w:val="22"/>
          <w:szCs w:val="22"/>
        </w:rPr>
        <w:t xml:space="preserve">Centrální bankéři v USA stále hlasitěji hovoří o jestřábím postoji. </w:t>
      </w:r>
    </w:p>
    <w:p w14:paraId="703D656C" w14:textId="28711FE0" w:rsidR="00083997" w:rsidRDefault="00083997" w:rsidP="00083997">
      <w:pPr>
        <w:spacing w:before="100" w:beforeAutospacing="1" w:after="100" w:afterAutospacing="1" w:line="360" w:lineRule="auto"/>
        <w:jc w:val="both"/>
        <w:rPr>
          <w:rFonts w:ascii="Invesco Interstate Light" w:eastAsiaTheme="minorEastAsia" w:hAnsi="Invesco Interstate Light"/>
          <w:sz w:val="22"/>
          <w:szCs w:val="22"/>
        </w:rPr>
      </w:pPr>
      <w:r w:rsidRPr="00083997">
        <w:rPr>
          <w:rFonts w:ascii="Invesco Interstate Light" w:eastAsiaTheme="minorEastAsia" w:hAnsi="Invesco Interstate Light"/>
          <w:sz w:val="22"/>
          <w:szCs w:val="22"/>
        </w:rPr>
        <w:t>Minulý týden vzrostly výnosy desetiletých amerických státních dluhopisů na úroveň, která nebyla zaznamenána od listopadu loňského roku. Důvodem byl před několika týdny zveřejněný index spotřebitelských cen v USA (CPI), který byl vyšší, než se očekávalo, a který způsobil, že trhy změnily svůj kolektivní názor na politiku Federálního rezervního systému (Fed) v tomto roce. Tento názor posílila zpráva o maloobchodních tržbách z minulého týdne, která byla výrazně nad očekáváním, a také jestřábí projevy členů Federálního výboru pro volný trh. Několik vět z minulého týdne:</w:t>
      </w:r>
    </w:p>
    <w:p w14:paraId="524DE862" w14:textId="0E3CDA22" w:rsidR="00083997" w:rsidRPr="00364DF1" w:rsidRDefault="00083997" w:rsidP="00083997">
      <w:pPr>
        <w:pStyle w:val="Odstavecseseznamem"/>
        <w:numPr>
          <w:ilvl w:val="0"/>
          <w:numId w:val="40"/>
        </w:numPr>
        <w:spacing w:line="360" w:lineRule="auto"/>
        <w:jc w:val="both"/>
        <w:rPr>
          <w:rFonts w:ascii="Invesco Interstate Light" w:hAnsi="Invesco Interstate Light"/>
          <w:i/>
          <w:iCs/>
        </w:rPr>
      </w:pPr>
      <w:r w:rsidRPr="00083997">
        <w:rPr>
          <w:rFonts w:ascii="Invesco Interstate Light" w:hAnsi="Invesco Interstate Light"/>
        </w:rPr>
        <w:t xml:space="preserve">Místopředseda </w:t>
      </w:r>
      <w:proofErr w:type="spellStart"/>
      <w:r w:rsidRPr="00083997">
        <w:rPr>
          <w:rFonts w:ascii="Invesco Interstate Light" w:hAnsi="Invesco Interstate Light"/>
        </w:rPr>
        <w:t>Fedu</w:t>
      </w:r>
      <w:proofErr w:type="spellEnd"/>
      <w:r w:rsidRPr="00083997">
        <w:rPr>
          <w:rFonts w:ascii="Invesco Interstate Light" w:hAnsi="Invesco Interstate Light"/>
        </w:rPr>
        <w:t xml:space="preserve"> Philip Jefferson: </w:t>
      </w:r>
      <w:r w:rsidRPr="00364DF1">
        <w:rPr>
          <w:rFonts w:ascii="Invesco Interstate Light" w:hAnsi="Invesco Interstate Light"/>
          <w:i/>
          <w:iCs/>
        </w:rPr>
        <w:t>„Pokud další data naznačí, že inflace je trvalejší, než v současnosti očekávám, bude vhodné udržet současný restriktivní postoj politiky déle. Jsem plně odhodlán dostat inflaci zpět na 2 %.“</w:t>
      </w:r>
    </w:p>
    <w:p w14:paraId="11D8D68A" w14:textId="53B60288" w:rsidR="00083997" w:rsidRPr="00083997" w:rsidRDefault="00083997" w:rsidP="00083997">
      <w:pPr>
        <w:pStyle w:val="Odstavecseseznamem"/>
        <w:numPr>
          <w:ilvl w:val="0"/>
          <w:numId w:val="40"/>
        </w:numPr>
        <w:spacing w:line="360" w:lineRule="auto"/>
        <w:jc w:val="both"/>
        <w:rPr>
          <w:rFonts w:ascii="Invesco Interstate Light" w:hAnsi="Invesco Interstate Light"/>
        </w:rPr>
      </w:pPr>
      <w:r w:rsidRPr="00083997">
        <w:rPr>
          <w:rFonts w:ascii="Invesco Interstate Light" w:hAnsi="Invesco Interstate Light"/>
        </w:rPr>
        <w:t xml:space="preserve">Od předsedy </w:t>
      </w:r>
      <w:proofErr w:type="spellStart"/>
      <w:r w:rsidRPr="00083997">
        <w:rPr>
          <w:rFonts w:ascii="Invesco Interstate Light" w:hAnsi="Invesco Interstate Light"/>
        </w:rPr>
        <w:t>Fedu</w:t>
      </w:r>
      <w:proofErr w:type="spellEnd"/>
      <w:r w:rsidRPr="00083997">
        <w:rPr>
          <w:rFonts w:ascii="Invesco Interstate Light" w:hAnsi="Invesco Interstate Light"/>
        </w:rPr>
        <w:t xml:space="preserve"> </w:t>
      </w:r>
      <w:proofErr w:type="spellStart"/>
      <w:r w:rsidRPr="00083997">
        <w:rPr>
          <w:rFonts w:ascii="Invesco Interstate Light" w:hAnsi="Invesco Interstate Light"/>
        </w:rPr>
        <w:t>Jaye</w:t>
      </w:r>
      <w:proofErr w:type="spellEnd"/>
      <w:r w:rsidRPr="00083997">
        <w:rPr>
          <w:rFonts w:ascii="Invesco Interstate Light" w:hAnsi="Invesco Interstate Light"/>
        </w:rPr>
        <w:t xml:space="preserve"> </w:t>
      </w:r>
      <w:proofErr w:type="spellStart"/>
      <w:r w:rsidRPr="00083997">
        <w:rPr>
          <w:rFonts w:ascii="Invesco Interstate Light" w:hAnsi="Invesco Interstate Light"/>
        </w:rPr>
        <w:t>Powella</w:t>
      </w:r>
      <w:proofErr w:type="spellEnd"/>
      <w:r w:rsidRPr="00083997">
        <w:rPr>
          <w:rFonts w:ascii="Invesco Interstate Light" w:hAnsi="Invesco Interstate Light"/>
        </w:rPr>
        <w:t xml:space="preserve">: </w:t>
      </w:r>
      <w:r w:rsidRPr="00364DF1">
        <w:rPr>
          <w:rFonts w:ascii="Invesco Interstate Light" w:hAnsi="Invesco Interstate Light"/>
          <w:i/>
          <w:iCs/>
        </w:rPr>
        <w:t xml:space="preserve">„Nedávná data nám zjevně nedodaly větší důvěru a naopak naznačují, že dosažení této důvěry bude pravděpodobně trvat déle, než se očekávalo. Právě nyní je vzhledem k síle trhu práce a dosavadnímu pokroku v oblasti inflace vhodné poskytnout restriktivní politice další čas na působení a nechat se vést daty a vyvíjejícím se výhledem. Pokud bude vyšší inflace přetrvávat, můžeme současnou úroveň restrikcí udržovat tak dlouho, jak bude třeba.“ </w:t>
      </w:r>
      <w:r w:rsidRPr="00083997">
        <w:rPr>
          <w:rFonts w:ascii="Invesco Interstate Light" w:hAnsi="Invesco Interstate Light"/>
        </w:rPr>
        <w:t xml:space="preserve">                                                       </w:t>
      </w:r>
    </w:p>
    <w:p w14:paraId="61DDA16F" w14:textId="19070CEA" w:rsidR="00083997" w:rsidRPr="00364DF1" w:rsidRDefault="00083997" w:rsidP="00364DF1">
      <w:pPr>
        <w:pStyle w:val="Odstavecseseznamem"/>
        <w:numPr>
          <w:ilvl w:val="0"/>
          <w:numId w:val="40"/>
        </w:numPr>
        <w:spacing w:line="360" w:lineRule="auto"/>
        <w:jc w:val="both"/>
        <w:rPr>
          <w:rFonts w:ascii="Invesco Interstate Light" w:hAnsi="Invesco Interstate Light"/>
        </w:rPr>
      </w:pPr>
      <w:r w:rsidRPr="00083997">
        <w:rPr>
          <w:rFonts w:ascii="Invesco Interstate Light" w:hAnsi="Invesco Interstate Light"/>
        </w:rPr>
        <w:t xml:space="preserve">Prezident newyorského </w:t>
      </w:r>
      <w:proofErr w:type="spellStart"/>
      <w:r w:rsidRPr="00083997">
        <w:rPr>
          <w:rFonts w:ascii="Invesco Interstate Light" w:hAnsi="Invesco Interstate Light"/>
        </w:rPr>
        <w:t>Fedu</w:t>
      </w:r>
      <w:proofErr w:type="spellEnd"/>
      <w:r w:rsidRPr="00083997">
        <w:rPr>
          <w:rFonts w:ascii="Invesco Interstate Light" w:hAnsi="Invesco Interstate Light"/>
        </w:rPr>
        <w:t xml:space="preserve"> John </w:t>
      </w:r>
      <w:proofErr w:type="spellStart"/>
      <w:r w:rsidRPr="00083997">
        <w:rPr>
          <w:rFonts w:ascii="Invesco Interstate Light" w:hAnsi="Invesco Interstate Light"/>
        </w:rPr>
        <w:t>Williams</w:t>
      </w:r>
      <w:proofErr w:type="spellEnd"/>
      <w:r w:rsidRPr="00083997">
        <w:rPr>
          <w:rFonts w:ascii="Invesco Interstate Light" w:hAnsi="Invesco Interstate Light"/>
        </w:rPr>
        <w:t xml:space="preserve">: </w:t>
      </w:r>
      <w:r w:rsidRPr="00364DF1">
        <w:rPr>
          <w:rFonts w:ascii="Invesco Interstate Light" w:hAnsi="Invesco Interstate Light"/>
          <w:i/>
          <w:iCs/>
        </w:rPr>
        <w:t>„Máme úrokové sazby takové, že, nás to postupně posouvá k našim cílům, takže rozhodně necítím naléhavost snižovat úrokové sazby.“</w:t>
      </w:r>
      <w:r w:rsidRPr="00083997">
        <w:rPr>
          <w:rFonts w:ascii="Invesco Interstate Light" w:hAnsi="Invesco Interstate Light"/>
        </w:rPr>
        <w:t xml:space="preserve"> </w:t>
      </w:r>
    </w:p>
    <w:p w14:paraId="676A3671" w14:textId="55B2E947" w:rsidR="005A3F63" w:rsidRDefault="00364DF1"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Ceny ropy klesají navzdory napětí na Blízkém východě</w:t>
      </w:r>
    </w:p>
    <w:p w14:paraId="2488C03C" w14:textId="77777777" w:rsidR="00364DF1" w:rsidRPr="00364DF1" w:rsidRDefault="00364DF1" w:rsidP="00364DF1">
      <w:pPr>
        <w:spacing w:before="100" w:beforeAutospacing="1" w:line="360" w:lineRule="auto"/>
        <w:jc w:val="both"/>
        <w:rPr>
          <w:rFonts w:ascii="Invesco Interstate Light" w:eastAsiaTheme="minorEastAsia" w:hAnsi="Invesco Interstate Light"/>
          <w:sz w:val="22"/>
          <w:szCs w:val="22"/>
        </w:rPr>
      </w:pPr>
      <w:r w:rsidRPr="00364DF1">
        <w:rPr>
          <w:rFonts w:ascii="Invesco Interstate Light" w:eastAsiaTheme="minorEastAsia" w:hAnsi="Invesco Interstate Light"/>
          <w:sz w:val="22"/>
          <w:szCs w:val="22"/>
        </w:rPr>
        <w:t xml:space="preserve">Ceny ropy </w:t>
      </w:r>
      <w:proofErr w:type="spellStart"/>
      <w:r w:rsidRPr="00364DF1">
        <w:rPr>
          <w:rFonts w:ascii="Invesco Interstate Light" w:eastAsiaTheme="minorEastAsia" w:hAnsi="Invesco Interstate Light"/>
          <w:sz w:val="22"/>
          <w:szCs w:val="22"/>
        </w:rPr>
        <w:t>West</w:t>
      </w:r>
      <w:proofErr w:type="spellEnd"/>
      <w:r w:rsidRPr="00364DF1">
        <w:rPr>
          <w:rFonts w:ascii="Invesco Interstate Light" w:eastAsiaTheme="minorEastAsia" w:hAnsi="Invesco Interstate Light"/>
          <w:sz w:val="22"/>
          <w:szCs w:val="22"/>
        </w:rPr>
        <w:t xml:space="preserve"> Texas </w:t>
      </w:r>
      <w:proofErr w:type="spellStart"/>
      <w:r w:rsidRPr="00364DF1">
        <w:rPr>
          <w:rFonts w:ascii="Invesco Interstate Light" w:eastAsiaTheme="minorEastAsia" w:hAnsi="Invesco Interstate Light"/>
          <w:sz w:val="22"/>
          <w:szCs w:val="22"/>
        </w:rPr>
        <w:t>Intermediate</w:t>
      </w:r>
      <w:proofErr w:type="spellEnd"/>
      <w:r w:rsidRPr="00364DF1">
        <w:rPr>
          <w:rFonts w:ascii="Invesco Interstate Light" w:eastAsiaTheme="minorEastAsia" w:hAnsi="Invesco Interstate Light"/>
          <w:sz w:val="22"/>
          <w:szCs w:val="22"/>
        </w:rPr>
        <w:t xml:space="preserve"> minulý týden skutečně klesly z nedávných maxim. To bylo pro někoho vzhledem k vysokému napětí na Blízkém východě zarážející, ale myslím, že to odráží několik klíčových faktorů:</w:t>
      </w:r>
    </w:p>
    <w:p w14:paraId="696EBF11" w14:textId="2F4C34D1" w:rsidR="00364DF1" w:rsidRDefault="00364DF1" w:rsidP="00364DF1">
      <w:pPr>
        <w:pStyle w:val="Odstavecseseznamem"/>
        <w:numPr>
          <w:ilvl w:val="0"/>
          <w:numId w:val="43"/>
        </w:numPr>
        <w:spacing w:before="100" w:beforeAutospacing="1" w:line="360" w:lineRule="auto"/>
        <w:jc w:val="both"/>
        <w:rPr>
          <w:rFonts w:ascii="Invesco Interstate Light" w:hAnsi="Invesco Interstate Light"/>
        </w:rPr>
      </w:pPr>
      <w:r w:rsidRPr="00364DF1">
        <w:rPr>
          <w:rFonts w:ascii="Invesco Interstate Light" w:hAnsi="Invesco Interstate Light"/>
        </w:rPr>
        <w:t>Za prvé, produkce ropy v USA změnila pravidla hry, pokud jde o zmírnění dopadu geopolitických rizik na Blízkém východě na cenu ropy. Podle amerického Úřadu pro energetické informace jsou Spojené státy od roku 2018 největším producentem ropy. Její produkce v roce 2023 ve výši 12,9 milionu barelů denně byla mnohem vyšší než produkce druhého největšího producenta ropy, Ruska, ve výši 10,1 milionu barelů denně, a Saúdské Arábie ve výši 9,7 milionu barelů denně.</w:t>
      </w:r>
    </w:p>
    <w:p w14:paraId="3CBB5C81" w14:textId="77777777" w:rsidR="00364DF1" w:rsidRPr="00364DF1" w:rsidRDefault="00364DF1" w:rsidP="00364DF1">
      <w:pPr>
        <w:pStyle w:val="Odstavecseseznamem"/>
        <w:numPr>
          <w:ilvl w:val="0"/>
          <w:numId w:val="43"/>
        </w:numPr>
        <w:spacing w:before="100" w:beforeAutospacing="1" w:line="360" w:lineRule="auto"/>
        <w:jc w:val="both"/>
        <w:rPr>
          <w:rFonts w:ascii="Invesco Interstate Light" w:hAnsi="Invesco Interstate Light"/>
        </w:rPr>
      </w:pPr>
      <w:r w:rsidRPr="00364DF1">
        <w:rPr>
          <w:rFonts w:ascii="Invesco Interstate Light" w:hAnsi="Invesco Interstate Light"/>
        </w:rPr>
        <w:lastRenderedPageBreak/>
        <w:t>Napětí na Blízkém východě je sice vysoké, ale ne tak velké, jak se mnozí obávali. Odměřené reakce mezi Íránem a Izraelem jsou podle mne velmi kontrolované, mají v úmyslu dát najevo nespokojenost s předchozím aktem agrese, ale zřejmě mají zabránit eskalaci vojenských akcí.</w:t>
      </w:r>
    </w:p>
    <w:p w14:paraId="5C337278" w14:textId="257879EA" w:rsidR="00364DF1" w:rsidRPr="007F58A4" w:rsidRDefault="00364DF1" w:rsidP="007F58A4">
      <w:pPr>
        <w:pStyle w:val="Odstavecseseznamem"/>
        <w:numPr>
          <w:ilvl w:val="0"/>
          <w:numId w:val="43"/>
        </w:numPr>
        <w:spacing w:before="100" w:beforeAutospacing="1" w:line="360" w:lineRule="auto"/>
        <w:rPr>
          <w:rFonts w:ascii="Invesco Interstate Light" w:hAnsi="Invesco Interstate Light"/>
        </w:rPr>
      </w:pPr>
      <w:r w:rsidRPr="00364DF1">
        <w:rPr>
          <w:rFonts w:ascii="Invesco Interstate Light" w:hAnsi="Invesco Interstate Light"/>
        </w:rPr>
        <w:t>Také se očekává, že nová konvenční představa, že sazby budou vyšší po delší dobu, způsobí určitou míru destrukce poptávky, což podle mého názoru také vyvinulo určitý tlak na pokles cen ropy.</w:t>
      </w:r>
    </w:p>
    <w:p w14:paraId="542963A5" w14:textId="053C83CC" w:rsidR="001C27B4" w:rsidRDefault="007F58A4" w:rsidP="001C27B4">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Naděje na rychlejší dezinflaci ve Velké Británii trvá</w:t>
      </w:r>
    </w:p>
    <w:p w14:paraId="6A7BCD5F" w14:textId="77777777" w:rsidR="007F58A4" w:rsidRPr="007F58A4" w:rsidRDefault="007F58A4" w:rsidP="007F58A4">
      <w:pPr>
        <w:spacing w:before="100" w:beforeAutospacing="1" w:line="360" w:lineRule="auto"/>
        <w:jc w:val="both"/>
        <w:rPr>
          <w:rFonts w:ascii="Invesco Interstate Light" w:eastAsiaTheme="minorEastAsia" w:hAnsi="Invesco Interstate Light"/>
          <w:sz w:val="22"/>
          <w:szCs w:val="22"/>
        </w:rPr>
      </w:pPr>
      <w:r w:rsidRPr="007F58A4">
        <w:rPr>
          <w:rFonts w:ascii="Invesco Interstate Light" w:eastAsiaTheme="minorEastAsia" w:hAnsi="Invesco Interstate Light"/>
          <w:sz w:val="22"/>
          <w:szCs w:val="22"/>
        </w:rPr>
        <w:t xml:space="preserve">Nejnovější hodnoty indexu spotřebitelských cen ve Spojeném království podpořily tezi, že inflace ve Spojeném království zůstane. Inflace ve službách se zmírnila, ale ne tolik, jak by si pozorovatelé trhu přáli. Kromě toho také růst mezd ve Spojeném království zpomalil méně, než se očekávalo. To způsobilo, že trhy změnily svůj kolektivní názor na to, kdy dojde k prvnímu snížení sazeb Bank </w:t>
      </w:r>
      <w:proofErr w:type="spellStart"/>
      <w:r w:rsidRPr="007F58A4">
        <w:rPr>
          <w:rFonts w:ascii="Invesco Interstate Light" w:eastAsiaTheme="minorEastAsia" w:hAnsi="Invesco Interstate Light"/>
          <w:sz w:val="22"/>
          <w:szCs w:val="22"/>
        </w:rPr>
        <w:t>of</w:t>
      </w:r>
      <w:proofErr w:type="spellEnd"/>
      <w:r w:rsidRPr="007F58A4">
        <w:rPr>
          <w:rFonts w:ascii="Invesco Interstate Light" w:eastAsiaTheme="minorEastAsia" w:hAnsi="Invesco Interstate Light"/>
          <w:sz w:val="22"/>
          <w:szCs w:val="22"/>
        </w:rPr>
        <w:t xml:space="preserve"> </w:t>
      </w:r>
      <w:proofErr w:type="spellStart"/>
      <w:r w:rsidRPr="007F58A4">
        <w:rPr>
          <w:rFonts w:ascii="Invesco Interstate Light" w:eastAsiaTheme="minorEastAsia" w:hAnsi="Invesco Interstate Light"/>
          <w:sz w:val="22"/>
          <w:szCs w:val="22"/>
        </w:rPr>
        <w:t>England</w:t>
      </w:r>
      <w:proofErr w:type="spellEnd"/>
      <w:r w:rsidRPr="007F58A4">
        <w:rPr>
          <w:rFonts w:ascii="Invesco Interstate Light" w:eastAsiaTheme="minorEastAsia" w:hAnsi="Invesco Interstate Light"/>
          <w:sz w:val="22"/>
          <w:szCs w:val="22"/>
        </w:rPr>
        <w:t>.</w:t>
      </w:r>
    </w:p>
    <w:p w14:paraId="03A75D14" w14:textId="77777777" w:rsidR="007F58A4" w:rsidRPr="007F58A4" w:rsidRDefault="007F58A4" w:rsidP="007F58A4">
      <w:pPr>
        <w:spacing w:before="100" w:beforeAutospacing="1" w:line="360" w:lineRule="auto"/>
        <w:jc w:val="both"/>
        <w:rPr>
          <w:rFonts w:ascii="Invesco Interstate Light" w:eastAsiaTheme="minorEastAsia" w:hAnsi="Invesco Interstate Light"/>
          <w:sz w:val="22"/>
          <w:szCs w:val="22"/>
        </w:rPr>
      </w:pPr>
      <w:r w:rsidRPr="007F58A4">
        <w:rPr>
          <w:rFonts w:ascii="Invesco Interstate Light" w:eastAsiaTheme="minorEastAsia" w:hAnsi="Invesco Interstate Light"/>
          <w:sz w:val="22"/>
          <w:szCs w:val="22"/>
        </w:rPr>
        <w:t xml:space="preserve">Já však chovám naději, že ke snížení sazeb dojde ještě před koncem druhého čtvrtletí. Proto mě uklidnila slova viceguvernéra Bank </w:t>
      </w:r>
      <w:proofErr w:type="spellStart"/>
      <w:r w:rsidRPr="007F58A4">
        <w:rPr>
          <w:rFonts w:ascii="Invesco Interstate Light" w:eastAsiaTheme="minorEastAsia" w:hAnsi="Invesco Interstate Light"/>
          <w:sz w:val="22"/>
          <w:szCs w:val="22"/>
        </w:rPr>
        <w:t>of</w:t>
      </w:r>
      <w:proofErr w:type="spellEnd"/>
      <w:r w:rsidRPr="007F58A4">
        <w:rPr>
          <w:rFonts w:ascii="Invesco Interstate Light" w:eastAsiaTheme="minorEastAsia" w:hAnsi="Invesco Interstate Light"/>
          <w:sz w:val="22"/>
          <w:szCs w:val="22"/>
        </w:rPr>
        <w:t xml:space="preserve"> </w:t>
      </w:r>
      <w:proofErr w:type="spellStart"/>
      <w:r w:rsidRPr="007F58A4">
        <w:rPr>
          <w:rFonts w:ascii="Invesco Interstate Light" w:eastAsiaTheme="minorEastAsia" w:hAnsi="Invesco Interstate Light"/>
          <w:sz w:val="22"/>
          <w:szCs w:val="22"/>
        </w:rPr>
        <w:t>England</w:t>
      </w:r>
      <w:proofErr w:type="spellEnd"/>
      <w:r w:rsidRPr="007F58A4">
        <w:rPr>
          <w:rFonts w:ascii="Invesco Interstate Light" w:eastAsiaTheme="minorEastAsia" w:hAnsi="Invesco Interstate Light"/>
          <w:sz w:val="22"/>
          <w:szCs w:val="22"/>
        </w:rPr>
        <w:t xml:space="preserve"> Davida </w:t>
      </w:r>
      <w:proofErr w:type="spellStart"/>
      <w:r w:rsidRPr="007F58A4">
        <w:rPr>
          <w:rFonts w:ascii="Invesco Interstate Light" w:eastAsiaTheme="minorEastAsia" w:hAnsi="Invesco Interstate Light"/>
          <w:sz w:val="22"/>
          <w:szCs w:val="22"/>
        </w:rPr>
        <w:t>Ramsdena</w:t>
      </w:r>
      <w:proofErr w:type="spellEnd"/>
      <w:r w:rsidRPr="007F58A4">
        <w:rPr>
          <w:rFonts w:ascii="Invesco Interstate Light" w:eastAsiaTheme="minorEastAsia" w:hAnsi="Invesco Interstate Light"/>
          <w:sz w:val="22"/>
          <w:szCs w:val="22"/>
        </w:rPr>
        <w:t>, který řekl: „</w:t>
      </w:r>
      <w:r w:rsidRPr="007F58A4">
        <w:rPr>
          <w:rFonts w:ascii="Invesco Interstate Light" w:eastAsiaTheme="minorEastAsia" w:hAnsi="Invesco Interstate Light"/>
          <w:i/>
          <w:iCs/>
          <w:sz w:val="22"/>
          <w:szCs w:val="22"/>
        </w:rPr>
        <w:t xml:space="preserve">Vzhledem k tomu, že známe výši cenového stropu </w:t>
      </w:r>
      <w:proofErr w:type="spellStart"/>
      <w:r w:rsidRPr="007F58A4">
        <w:rPr>
          <w:rFonts w:ascii="Invesco Interstate Light" w:eastAsiaTheme="minorEastAsia" w:hAnsi="Invesco Interstate Light"/>
          <w:i/>
          <w:iCs/>
          <w:sz w:val="22"/>
          <w:szCs w:val="22"/>
        </w:rPr>
        <w:t>Ofgem</w:t>
      </w:r>
      <w:proofErr w:type="spellEnd"/>
      <w:r w:rsidRPr="007F58A4">
        <w:rPr>
          <w:rFonts w:ascii="Invesco Interstate Light" w:eastAsiaTheme="minorEastAsia" w:hAnsi="Invesco Interstate Light"/>
          <w:i/>
          <w:iCs/>
          <w:sz w:val="22"/>
          <w:szCs w:val="22"/>
        </w:rPr>
        <w:t xml:space="preserve"> pro duben, a také s přihlédnutím ke zmrazení cel na pohonné hmoty v březnovém rozpočtu, pak si můžeme být jisti, že při jinak stejných podmínkách celková inflace měřená indexem spotřebitelských cen v dubnu prudce poklesne a přiblíží se </w:t>
      </w:r>
      <w:proofErr w:type="gramStart"/>
      <w:r w:rsidRPr="007F58A4">
        <w:rPr>
          <w:rFonts w:ascii="Invesco Interstate Light" w:eastAsiaTheme="minorEastAsia" w:hAnsi="Invesco Interstate Light"/>
          <w:i/>
          <w:iCs/>
          <w:sz w:val="22"/>
          <w:szCs w:val="22"/>
        </w:rPr>
        <w:t>2%</w:t>
      </w:r>
      <w:proofErr w:type="gramEnd"/>
      <w:r w:rsidRPr="007F58A4">
        <w:rPr>
          <w:rFonts w:ascii="Invesco Interstate Light" w:eastAsiaTheme="minorEastAsia" w:hAnsi="Invesco Interstate Light"/>
          <w:i/>
          <w:iCs/>
          <w:sz w:val="22"/>
          <w:szCs w:val="22"/>
        </w:rPr>
        <w:t xml:space="preserve"> cíli.“</w:t>
      </w:r>
      <w:r w:rsidRPr="007F58A4">
        <w:rPr>
          <w:rFonts w:ascii="Invesco Interstate Light" w:eastAsiaTheme="minorEastAsia" w:hAnsi="Invesco Interstate Light"/>
          <w:sz w:val="22"/>
          <w:szCs w:val="22"/>
        </w:rPr>
        <w:t xml:space="preserve"> Výrazný růst nezaměstnanosti ve Spojeném království z lednových 3,9 % na únorových 4,2 % podle mého názoru pomáhá argumentovat pro uvolnění sazeb spíše dříve než později.      </w:t>
      </w:r>
    </w:p>
    <w:p w14:paraId="1EAE204F" w14:textId="6EE99E2C" w:rsidR="001C27B4" w:rsidRPr="001C27B4" w:rsidRDefault="007F58A4" w:rsidP="001C27B4">
      <w:pPr>
        <w:autoSpaceDE w:val="0"/>
        <w:autoSpaceDN w:val="0"/>
        <w:adjustRightInd w:val="0"/>
        <w:spacing w:line="276" w:lineRule="auto"/>
        <w:rPr>
          <w:rFonts w:ascii="Invesco Interstate Light" w:hAnsi="Invesco Interstate Light"/>
          <w:b/>
          <w:bCs/>
          <w:sz w:val="22"/>
          <w:szCs w:val="22"/>
        </w:rPr>
      </w:pPr>
      <w:r>
        <w:rPr>
          <w:rFonts w:ascii="Arial" w:hAnsi="Arial" w:cs="Arial"/>
          <w:color w:val="000000"/>
          <w:lang w:eastAsia="cs-CZ"/>
        </w:rPr>
        <w:br/>
      </w:r>
      <w:r>
        <w:rPr>
          <w:rFonts w:ascii="Invesco Interstate Light" w:hAnsi="Invesco Interstate Light"/>
          <w:b/>
          <w:bCs/>
          <w:sz w:val="22"/>
          <w:szCs w:val="22"/>
        </w:rPr>
        <w:t>Eurozóna dosahuje významného pokroku v dezinflaci</w:t>
      </w:r>
    </w:p>
    <w:p w14:paraId="489C22CA" w14:textId="7BB67DD3" w:rsidR="007F58A4" w:rsidRDefault="007F58A4" w:rsidP="007F58A4">
      <w:pPr>
        <w:spacing w:before="100" w:beforeAutospacing="1" w:afterAutospacing="1" w:line="360" w:lineRule="auto"/>
        <w:jc w:val="both"/>
        <w:rPr>
          <w:rFonts w:ascii="Invesco Interstate Light" w:eastAsiaTheme="minorEastAsia" w:hAnsi="Invesco Interstate Light"/>
          <w:sz w:val="22"/>
          <w:szCs w:val="22"/>
        </w:rPr>
      </w:pPr>
      <w:r w:rsidRPr="007F58A4">
        <w:rPr>
          <w:rFonts w:ascii="Invesco Interstate Light" w:eastAsiaTheme="minorEastAsia" w:hAnsi="Invesco Interstate Light"/>
          <w:sz w:val="22"/>
          <w:szCs w:val="22"/>
        </w:rPr>
        <w:t xml:space="preserve">Meziroční inflace v eurozóně za březen je na hodnotě 2,4 %, což je méně než 2,6 % v únoru a 2,8 % v lednu. To je působivý pokrok vzhledem k tomu, že před rokem činila míra inflace meziročně 6,9 %. Jádrová inflace, bez potravin a energií, byla za březen rovněž bez revize na úrovni 2,9 % meziročně </w:t>
      </w:r>
      <w:r w:rsidRPr="00F53F8D">
        <w:rPr>
          <w:rFonts w:ascii="Invesco Interstate Light" w:eastAsiaTheme="minorEastAsia" w:hAnsi="Invesco Interstate Light"/>
          <w:sz w:val="22"/>
          <w:szCs w:val="22"/>
        </w:rPr>
        <w:t xml:space="preserve">– </w:t>
      </w:r>
      <w:r w:rsidRPr="007F58A4">
        <w:rPr>
          <w:rFonts w:ascii="Invesco Interstate Light" w:eastAsiaTheme="minorEastAsia" w:hAnsi="Invesco Interstate Light"/>
          <w:sz w:val="22"/>
          <w:szCs w:val="22"/>
        </w:rPr>
        <w:t>a bez tabáku rovněž dělala 2,6 %. Podle mého názoru tento vývoj prakticky zaručuje, že Evropská centrální banka na svém červnovém zasedání přistoupí ke snížení sazeb.</w:t>
      </w:r>
    </w:p>
    <w:p w14:paraId="539BA6EF" w14:textId="0C82DA34" w:rsidR="007F58A4" w:rsidRPr="007F58A4" w:rsidRDefault="007F58A4" w:rsidP="007F58A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 xml:space="preserve">Čína a Kanada </w:t>
      </w:r>
    </w:p>
    <w:p w14:paraId="2DD1C150" w14:textId="77777777" w:rsidR="007F58A4" w:rsidRPr="007F58A4" w:rsidRDefault="007F58A4" w:rsidP="007F58A4">
      <w:pPr>
        <w:spacing w:before="100" w:beforeAutospacing="1" w:after="100" w:afterAutospacing="1" w:line="360" w:lineRule="auto"/>
        <w:jc w:val="both"/>
        <w:rPr>
          <w:rFonts w:ascii="Invesco Interstate Light" w:eastAsiaTheme="minorEastAsia" w:hAnsi="Invesco Interstate Light"/>
          <w:sz w:val="22"/>
          <w:szCs w:val="22"/>
        </w:rPr>
      </w:pPr>
      <w:r w:rsidRPr="007F58A4">
        <w:rPr>
          <w:rFonts w:ascii="Invesco Interstate Light" w:eastAsiaTheme="minorEastAsia" w:hAnsi="Invesco Interstate Light"/>
          <w:sz w:val="22"/>
          <w:szCs w:val="22"/>
        </w:rPr>
        <w:t>Za zmínku stojí také to, že čínský hrubý domácí produkt za první čtvrtletí pozitivně překvapil a překonal očekávání. To naznačuje, že cílené fiskální stimuly zlepšují důvěru a mají příznivý dopad na ekonomiku.</w:t>
      </w:r>
    </w:p>
    <w:p w14:paraId="633D3F22" w14:textId="02F03DD5" w:rsidR="007F58A4" w:rsidRPr="007F58A4" w:rsidRDefault="007F58A4" w:rsidP="007F58A4">
      <w:pPr>
        <w:spacing w:before="100" w:beforeAutospacing="1" w:after="100" w:afterAutospacing="1" w:line="360" w:lineRule="auto"/>
        <w:jc w:val="both"/>
        <w:rPr>
          <w:rFonts w:ascii="Invesco Interstate Light" w:eastAsiaTheme="minorEastAsia" w:hAnsi="Invesco Interstate Light"/>
          <w:sz w:val="22"/>
          <w:szCs w:val="22"/>
        </w:rPr>
      </w:pPr>
      <w:r w:rsidRPr="007F58A4">
        <w:rPr>
          <w:rFonts w:ascii="Invesco Interstate Light" w:eastAsiaTheme="minorEastAsia" w:hAnsi="Invesco Interstate Light"/>
          <w:sz w:val="22"/>
          <w:szCs w:val="22"/>
        </w:rPr>
        <w:lastRenderedPageBreak/>
        <w:t>Mezitím byl minulý týden zveřejněn kanadský federální rozpočet na rok 2024. Přestože obsahuje některé zajímavé návrhy, které by mohly podpořit hospodářský růst a přispět ke zvýšení finanční stability domácností, vyvolává také obavy z vládního dluhu a vysokých nákladů na jeho obsluhu</w:t>
      </w:r>
      <w:r w:rsidRPr="00F53F8D">
        <w:rPr>
          <w:rFonts w:ascii="Invesco Interstate Light" w:eastAsiaTheme="minorEastAsia" w:hAnsi="Invesco Interstate Light"/>
          <w:sz w:val="22"/>
          <w:szCs w:val="22"/>
        </w:rPr>
        <w:t xml:space="preserve">– </w:t>
      </w:r>
      <w:r w:rsidRPr="007F58A4">
        <w:rPr>
          <w:rFonts w:ascii="Invesco Interstate Light" w:eastAsiaTheme="minorEastAsia" w:hAnsi="Invesco Interstate Light"/>
          <w:sz w:val="22"/>
          <w:szCs w:val="22"/>
        </w:rPr>
        <w:t>i když zdaleka ne tak výrazné, jako jsou obavy vyjadřované na jih od kanadských hranic, v USA.</w:t>
      </w:r>
    </w:p>
    <w:p w14:paraId="6D5FB68C" w14:textId="55F9E18B" w:rsidR="005B47D2" w:rsidRDefault="007F58A4"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Důsledky pro aktiva</w:t>
      </w:r>
    </w:p>
    <w:p w14:paraId="214BC49F" w14:textId="2C3D9A2F" w:rsidR="007F58A4" w:rsidRPr="007F58A4" w:rsidRDefault="007F58A4" w:rsidP="007F58A4">
      <w:pPr>
        <w:spacing w:before="100" w:beforeAutospacing="1" w:after="100" w:afterAutospacing="1" w:line="360" w:lineRule="auto"/>
        <w:rPr>
          <w:rFonts w:ascii="Invesco Interstate Light" w:eastAsiaTheme="minorEastAsia" w:hAnsi="Invesco Interstate Light"/>
          <w:sz w:val="22"/>
          <w:szCs w:val="22"/>
        </w:rPr>
      </w:pPr>
      <w:r w:rsidRPr="007F58A4">
        <w:rPr>
          <w:rFonts w:ascii="Invesco Interstate Light" w:eastAsiaTheme="minorEastAsia" w:hAnsi="Invesco Interstate Light"/>
          <w:sz w:val="22"/>
          <w:szCs w:val="22"/>
        </w:rPr>
        <w:t xml:space="preserve">Riziková aktiva jsou zjevně pod tlakem a pravděpodobně budou pod tlakem i nadále, ale s vyššími výnosy. Věřím však, že i to pomine. Také věřím, že červnové snížení sazeb </w:t>
      </w:r>
      <w:proofErr w:type="spellStart"/>
      <w:r w:rsidRPr="007F58A4">
        <w:rPr>
          <w:rFonts w:ascii="Invesco Interstate Light" w:eastAsiaTheme="minorEastAsia" w:hAnsi="Invesco Interstate Light"/>
          <w:sz w:val="22"/>
          <w:szCs w:val="22"/>
        </w:rPr>
        <w:t>Fedu</w:t>
      </w:r>
      <w:proofErr w:type="spellEnd"/>
      <w:r w:rsidRPr="007F58A4">
        <w:rPr>
          <w:rFonts w:ascii="Invesco Interstate Light" w:eastAsiaTheme="minorEastAsia" w:hAnsi="Invesco Interstate Light"/>
          <w:sz w:val="22"/>
          <w:szCs w:val="22"/>
        </w:rPr>
        <w:t xml:space="preserve"> a celkem tři snížení sazeb v tomto roce jsou stále velmi reálné možnosti.  Trhy však pravděpodobně nezmění názor </w:t>
      </w:r>
      <w:r w:rsidRPr="00F53F8D">
        <w:rPr>
          <w:rFonts w:ascii="Invesco Interstate Light" w:eastAsiaTheme="minorEastAsia" w:hAnsi="Invesco Interstate Light"/>
          <w:sz w:val="22"/>
          <w:szCs w:val="22"/>
        </w:rPr>
        <w:t>–</w:t>
      </w:r>
      <w:r w:rsidRPr="007F58A4">
        <w:rPr>
          <w:rFonts w:ascii="Invesco Interstate Light" w:eastAsiaTheme="minorEastAsia" w:hAnsi="Invesco Interstate Light"/>
          <w:sz w:val="22"/>
          <w:szCs w:val="22"/>
        </w:rPr>
        <w:t xml:space="preserve"> a tedy tlak u rizikových aktiv pravděpodobně nesleví </w:t>
      </w:r>
      <w:r w:rsidRPr="00F53F8D">
        <w:rPr>
          <w:rFonts w:ascii="Invesco Interstate Light" w:eastAsiaTheme="minorEastAsia" w:hAnsi="Invesco Interstate Light"/>
          <w:sz w:val="22"/>
          <w:szCs w:val="22"/>
        </w:rPr>
        <w:t>–</w:t>
      </w:r>
      <w:r w:rsidRPr="007F58A4">
        <w:rPr>
          <w:rFonts w:ascii="Invesco Interstate Light" w:eastAsiaTheme="minorEastAsia" w:hAnsi="Invesco Interstate Light"/>
          <w:sz w:val="22"/>
          <w:szCs w:val="22"/>
        </w:rPr>
        <w:t xml:space="preserve"> dokud se neobjeví významná data, která budou ukazovat větší pokrok v dezinflaci a „méně horkou“ ekonomiku.</w:t>
      </w:r>
    </w:p>
    <w:p w14:paraId="1ACB2F90" w14:textId="10CCE7C3" w:rsidR="007F58A4" w:rsidRPr="007F58A4" w:rsidRDefault="007F58A4" w:rsidP="007F58A4">
      <w:pPr>
        <w:spacing w:before="100" w:beforeAutospacing="1" w:after="100" w:afterAutospacing="1" w:line="360" w:lineRule="auto"/>
        <w:jc w:val="both"/>
        <w:rPr>
          <w:rFonts w:ascii="Invesco Interstate Light" w:eastAsiaTheme="minorEastAsia" w:hAnsi="Invesco Interstate Light"/>
          <w:sz w:val="22"/>
          <w:szCs w:val="22"/>
        </w:rPr>
      </w:pPr>
      <w:r w:rsidRPr="007F58A4">
        <w:rPr>
          <w:rFonts w:ascii="Invesco Interstate Light" w:eastAsiaTheme="minorEastAsia" w:hAnsi="Invesco Interstate Light"/>
          <w:sz w:val="22"/>
          <w:szCs w:val="22"/>
        </w:rPr>
        <w:t xml:space="preserve">Když přemýšlím o svých nadějích ohledně nadcházejících dat, vzpomínám si na něco, co údajně prohlásil Antonio </w:t>
      </w:r>
      <w:proofErr w:type="spellStart"/>
      <w:r w:rsidRPr="007F58A4">
        <w:rPr>
          <w:rFonts w:ascii="Invesco Interstate Light" w:eastAsiaTheme="minorEastAsia" w:hAnsi="Invesco Interstate Light"/>
          <w:sz w:val="22"/>
          <w:szCs w:val="22"/>
        </w:rPr>
        <w:t>Salieri</w:t>
      </w:r>
      <w:proofErr w:type="spellEnd"/>
      <w:r w:rsidRPr="007F58A4">
        <w:rPr>
          <w:rFonts w:ascii="Invesco Interstate Light" w:eastAsiaTheme="minorEastAsia" w:hAnsi="Invesco Interstate Light"/>
          <w:sz w:val="22"/>
          <w:szCs w:val="22"/>
        </w:rPr>
        <w:t xml:space="preserve">, rival Wolfganga Amadea Mozarta (alespoň ve filmu): </w:t>
      </w:r>
      <w:r w:rsidRPr="007F58A4">
        <w:rPr>
          <w:rFonts w:ascii="Invesco Interstate Light" w:eastAsiaTheme="minorEastAsia" w:hAnsi="Invesco Interstate Light"/>
          <w:i/>
          <w:iCs/>
          <w:sz w:val="22"/>
          <w:szCs w:val="22"/>
        </w:rPr>
        <w:t xml:space="preserve">„Mluvím za všechny průměrné. Jsem jejich obhájce... Jsem patronem průměrnosti.“ </w:t>
      </w:r>
      <w:r w:rsidRPr="007F58A4">
        <w:rPr>
          <w:rFonts w:ascii="Invesco Interstate Light" w:eastAsiaTheme="minorEastAsia" w:hAnsi="Invesco Interstate Light"/>
          <w:sz w:val="22"/>
          <w:szCs w:val="22"/>
        </w:rPr>
        <w:t xml:space="preserve">Inu, v posledních týdnech by se nám hodila data o indexu spotřebitelských cen a maloobchodních tržbách </w:t>
      </w:r>
      <w:proofErr w:type="spellStart"/>
      <w:r w:rsidRPr="007F58A4">
        <w:rPr>
          <w:rFonts w:ascii="Invesco Interstate Light" w:eastAsiaTheme="minorEastAsia" w:hAnsi="Invesco Interstate Light"/>
          <w:sz w:val="22"/>
          <w:szCs w:val="22"/>
        </w:rPr>
        <w:t>Salieriho</w:t>
      </w:r>
      <w:proofErr w:type="spellEnd"/>
      <w:r w:rsidRPr="007F58A4">
        <w:rPr>
          <w:rFonts w:ascii="Invesco Interstate Light" w:eastAsiaTheme="minorEastAsia" w:hAnsi="Invesco Interstate Light"/>
          <w:sz w:val="22"/>
          <w:szCs w:val="22"/>
        </w:rPr>
        <w:t xml:space="preserve"> typu. A já doufám, že v příštích týdnech a měsících přijdou nějaké </w:t>
      </w:r>
      <w:proofErr w:type="spellStart"/>
      <w:r w:rsidRPr="007F58A4">
        <w:rPr>
          <w:rFonts w:ascii="Invesco Interstate Light" w:eastAsiaTheme="minorEastAsia" w:hAnsi="Invesco Interstate Light"/>
          <w:sz w:val="22"/>
          <w:szCs w:val="22"/>
        </w:rPr>
        <w:t>salieriovské</w:t>
      </w:r>
      <w:proofErr w:type="spellEnd"/>
      <w:r w:rsidRPr="007F58A4">
        <w:rPr>
          <w:rFonts w:ascii="Invesco Interstate Light" w:eastAsiaTheme="minorEastAsia" w:hAnsi="Invesco Interstate Light"/>
          <w:sz w:val="22"/>
          <w:szCs w:val="22"/>
        </w:rPr>
        <w:t xml:space="preserve"> momenty u amerických ekonomických dat </w:t>
      </w:r>
      <w:r w:rsidRPr="00F53F8D">
        <w:rPr>
          <w:rFonts w:ascii="Invesco Interstate Light" w:eastAsiaTheme="minorEastAsia" w:hAnsi="Invesco Interstate Light"/>
          <w:sz w:val="22"/>
          <w:szCs w:val="22"/>
        </w:rPr>
        <w:t>–</w:t>
      </w:r>
      <w:r w:rsidRPr="007F58A4">
        <w:rPr>
          <w:rFonts w:ascii="Invesco Interstate Light" w:eastAsiaTheme="minorEastAsia" w:hAnsi="Invesco Interstate Light"/>
          <w:sz w:val="22"/>
          <w:szCs w:val="22"/>
        </w:rPr>
        <w:t xml:space="preserve"> průměrná data o inflaci a obecně ekonomická data, která nepřekvapí směrem vzhůru.</w:t>
      </w:r>
    </w:p>
    <w:p w14:paraId="7B0E07D6" w14:textId="77777777" w:rsidR="007F58A4" w:rsidRPr="007F58A4" w:rsidRDefault="007F58A4" w:rsidP="007F58A4">
      <w:pPr>
        <w:spacing w:before="100" w:beforeAutospacing="1" w:after="100" w:afterAutospacing="1" w:line="360" w:lineRule="auto"/>
        <w:jc w:val="both"/>
        <w:rPr>
          <w:rFonts w:ascii="Invesco Interstate Light" w:eastAsiaTheme="minorEastAsia" w:hAnsi="Invesco Interstate Light"/>
          <w:sz w:val="22"/>
          <w:szCs w:val="22"/>
        </w:rPr>
      </w:pPr>
      <w:r w:rsidRPr="007F58A4">
        <w:rPr>
          <w:rFonts w:ascii="Invesco Interstate Light" w:eastAsiaTheme="minorEastAsia" w:hAnsi="Invesco Interstate Light"/>
          <w:sz w:val="22"/>
          <w:szCs w:val="22"/>
        </w:rPr>
        <w:t xml:space="preserve">Jakmile získáme další důkazy o dezinflačním vývoji v USA, máme důvod k optimismu. Myslím si, že pokles, který jsme zažili, je zdravý. Ocenění rizikových aktiv je pak atraktivnější. Na vedlejších trzích je stále značná hotovost, která by se mohla přesunout na trhy. Tento názor ostatně podporuje i komentář finančního ředitele jedné z velkých světových bank, který zazněl minulý týden v rámci rozhovoru o výsledcích hospodaření: </w:t>
      </w:r>
      <w:r w:rsidRPr="007F58A4">
        <w:rPr>
          <w:rFonts w:ascii="Invesco Interstate Light" w:eastAsiaTheme="minorEastAsia" w:hAnsi="Invesco Interstate Light"/>
          <w:i/>
          <w:iCs/>
          <w:sz w:val="22"/>
          <w:szCs w:val="22"/>
        </w:rPr>
        <w:t>„...v tuto chvíli je zde spousta hotovosti. To by vám mohlo napovědět, že to podporuje schopnost vidět pokračující toky spravovaných aktiv do budoucna, v závislosti na tom, jak se... samozřejmě, akciový trh časem vyvine. Ale všechny nás zaráží obrovské množství hotovosti, které je v tuto chvíli na vedlejší linii.“</w:t>
      </w:r>
      <w:r w:rsidRPr="007F58A4">
        <w:rPr>
          <w:rFonts w:ascii="Invesco Interstate Light" w:eastAsiaTheme="minorEastAsia" w:hAnsi="Invesco Interstate Light"/>
          <w:sz w:val="22"/>
          <w:szCs w:val="22"/>
        </w:rPr>
        <w:t xml:space="preserve"> Nemyslím si, že jde o anomálii; mám podezření, že mnoho bank zaznamenává zvýšené množství hotovosti, které leží stranou.</w:t>
      </w:r>
    </w:p>
    <w:p w14:paraId="51E35BA0" w14:textId="77777777" w:rsidR="00F53F8D" w:rsidRDefault="00F53F8D" w:rsidP="00F53F8D">
      <w:pPr>
        <w:spacing w:before="100" w:beforeAutospacing="1" w:afterAutospacing="1" w:line="360" w:lineRule="auto"/>
        <w:jc w:val="both"/>
        <w:rPr>
          <w:rFonts w:ascii="Invesco Interstate Light" w:eastAsiaTheme="minorEastAsia" w:hAnsi="Invesco Interstate Light"/>
          <w:sz w:val="22"/>
          <w:szCs w:val="22"/>
        </w:rPr>
      </w:pPr>
    </w:p>
    <w:p w14:paraId="4D73AB40" w14:textId="77777777" w:rsidR="007F58A4" w:rsidRDefault="007F58A4" w:rsidP="00F53F8D">
      <w:pPr>
        <w:spacing w:before="100" w:beforeAutospacing="1" w:afterAutospacing="1" w:line="360" w:lineRule="auto"/>
        <w:jc w:val="both"/>
        <w:rPr>
          <w:rFonts w:ascii="Invesco Interstate Light" w:eastAsiaTheme="minorEastAsia" w:hAnsi="Invesco Interstate Light"/>
          <w:sz w:val="22"/>
          <w:szCs w:val="22"/>
        </w:rPr>
      </w:pPr>
    </w:p>
    <w:p w14:paraId="10137F48" w14:textId="77777777" w:rsidR="007F58A4" w:rsidRPr="00F53F8D" w:rsidRDefault="007F58A4" w:rsidP="00F53F8D">
      <w:pPr>
        <w:spacing w:before="100" w:beforeAutospacing="1" w:afterAutospacing="1" w:line="360" w:lineRule="auto"/>
        <w:jc w:val="both"/>
        <w:rPr>
          <w:rFonts w:ascii="Invesco Interstate Light" w:eastAsiaTheme="minorEastAsia" w:hAnsi="Invesco Interstate Light"/>
          <w:sz w:val="22"/>
          <w:szCs w:val="22"/>
        </w:rPr>
      </w:pPr>
    </w:p>
    <w:p w14:paraId="6A76F56C" w14:textId="77777777" w:rsidR="00036240" w:rsidRDefault="00036240" w:rsidP="00651AAE">
      <w:pPr>
        <w:autoSpaceDE w:val="0"/>
        <w:autoSpaceDN w:val="0"/>
        <w:adjustRightInd w:val="0"/>
        <w:spacing w:line="240" w:lineRule="auto"/>
        <w:rPr>
          <w:rFonts w:ascii="Invesco Interstate Light" w:hAnsi="Invesco Interstate Light"/>
        </w:rPr>
      </w:pPr>
    </w:p>
    <w:p w14:paraId="3571C834" w14:textId="77777777" w:rsidR="00036240" w:rsidRDefault="00036240" w:rsidP="00651AAE">
      <w:pPr>
        <w:autoSpaceDE w:val="0"/>
        <w:autoSpaceDN w:val="0"/>
        <w:adjustRightInd w:val="0"/>
        <w:spacing w:line="240" w:lineRule="auto"/>
        <w:rPr>
          <w:rFonts w:ascii="Invesco Interstate Light" w:hAnsi="Invesco Interstate Light"/>
        </w:rPr>
      </w:pPr>
    </w:p>
    <w:p w14:paraId="2D0D8100" w14:textId="77777777" w:rsidR="00036240" w:rsidRDefault="00036240" w:rsidP="00651AAE">
      <w:pPr>
        <w:autoSpaceDE w:val="0"/>
        <w:autoSpaceDN w:val="0"/>
        <w:adjustRightInd w:val="0"/>
        <w:spacing w:line="240" w:lineRule="auto"/>
        <w:rPr>
          <w:rFonts w:ascii="Invesco Interstate Light" w:hAnsi="Invesco Interstate Light"/>
        </w:rPr>
      </w:pPr>
    </w:p>
    <w:p w14:paraId="7C334F37" w14:textId="691A326D"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6325B" w14:textId="77777777" w:rsidR="00AD7532" w:rsidRDefault="00AD7532">
      <w:r>
        <w:separator/>
      </w:r>
    </w:p>
  </w:endnote>
  <w:endnote w:type="continuationSeparator" w:id="0">
    <w:p w14:paraId="362A0F78" w14:textId="77777777" w:rsidR="00AD7532" w:rsidRDefault="00AD7532">
      <w:r>
        <w:continuationSeparator/>
      </w:r>
    </w:p>
  </w:endnote>
  <w:endnote w:type="continuationNotice" w:id="1">
    <w:p w14:paraId="4B66FA42" w14:textId="77777777" w:rsidR="00AD7532" w:rsidRDefault="00AD75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2D6C" w14:textId="77777777" w:rsidR="00AD7532" w:rsidRDefault="00AD7532">
      <w:r>
        <w:separator/>
      </w:r>
    </w:p>
  </w:footnote>
  <w:footnote w:type="continuationSeparator" w:id="0">
    <w:p w14:paraId="4D88D182" w14:textId="77777777" w:rsidR="00AD7532" w:rsidRDefault="00AD7532">
      <w:r>
        <w:continuationSeparator/>
      </w:r>
    </w:p>
  </w:footnote>
  <w:footnote w:type="continuationNotice" w:id="1">
    <w:p w14:paraId="129E6970" w14:textId="77777777" w:rsidR="00AD7532" w:rsidRDefault="00AD75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22D981B4" w:rsidR="00702C33" w:rsidRPr="000730A6" w:rsidRDefault="005F7A1B"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083997">
      <w:rPr>
        <w:color w:val="000000"/>
        <w:sz w:val="28"/>
        <w:szCs w:val="28"/>
      </w:rPr>
      <w:t>6</w:t>
    </w:r>
    <w:r w:rsidR="0083625E">
      <w:rPr>
        <w:color w:val="000000"/>
        <w:sz w:val="28"/>
        <w:szCs w:val="28"/>
      </w:rPr>
      <w:t>.</w:t>
    </w:r>
    <w:r w:rsidR="00083997">
      <w:rPr>
        <w:color w:val="000000"/>
        <w:sz w:val="28"/>
        <w:szCs w:val="28"/>
      </w:rPr>
      <w:t>4</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30B23"/>
    <w:multiLevelType w:val="multilevel"/>
    <w:tmpl w:val="11820CCE"/>
    <w:numStyleLink w:val="FormatvorlageAufgezhlt"/>
  </w:abstractNum>
  <w:abstractNum w:abstractNumId="23"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D403C3"/>
    <w:multiLevelType w:val="multilevel"/>
    <w:tmpl w:val="11820CCE"/>
    <w:numStyleLink w:val="FormatvorlageAufgezhlt"/>
  </w:abstractNum>
  <w:abstractNum w:abstractNumId="33" w15:restartNumberingAfterBreak="0">
    <w:nsid w:val="6C6C4721"/>
    <w:multiLevelType w:val="multilevel"/>
    <w:tmpl w:val="11820CCE"/>
    <w:numStyleLink w:val="FormatvorlageAufgezhlt"/>
  </w:abstractNum>
  <w:abstractNum w:abstractNumId="3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5380B"/>
    <w:multiLevelType w:val="multilevel"/>
    <w:tmpl w:val="11820CCE"/>
    <w:numStyleLink w:val="FormatvorlageAufgezhlt"/>
  </w:abstractNum>
  <w:abstractNum w:abstractNumId="3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6"/>
  </w:num>
  <w:num w:numId="3" w16cid:durableId="1282105589">
    <w:abstractNumId w:val="28"/>
  </w:num>
  <w:num w:numId="4" w16cid:durableId="1617441895">
    <w:abstractNumId w:val="18"/>
  </w:num>
  <w:num w:numId="5" w16cid:durableId="1267425896">
    <w:abstractNumId w:val="22"/>
  </w:num>
  <w:num w:numId="6" w16cid:durableId="1792238606">
    <w:abstractNumId w:val="32"/>
  </w:num>
  <w:num w:numId="7" w16cid:durableId="190919629">
    <w:abstractNumId w:val="33"/>
  </w:num>
  <w:num w:numId="8" w16cid:durableId="2083285618">
    <w:abstractNumId w:val="1"/>
  </w:num>
  <w:num w:numId="9" w16cid:durableId="1653213567">
    <w:abstractNumId w:val="36"/>
  </w:num>
  <w:num w:numId="10" w16cid:durableId="849561851">
    <w:abstractNumId w:val="14"/>
  </w:num>
  <w:num w:numId="11" w16cid:durableId="1899129255">
    <w:abstractNumId w:val="4"/>
  </w:num>
  <w:num w:numId="12" w16cid:durableId="134840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41"/>
  </w:num>
  <w:num w:numId="14" w16cid:durableId="2009676695">
    <w:abstractNumId w:val="42"/>
  </w:num>
  <w:num w:numId="15" w16cid:durableId="1629623239">
    <w:abstractNumId w:val="27"/>
  </w:num>
  <w:num w:numId="16" w16cid:durableId="1975720235">
    <w:abstractNumId w:val="7"/>
  </w:num>
  <w:num w:numId="17" w16cid:durableId="103501300">
    <w:abstractNumId w:val="2"/>
  </w:num>
  <w:num w:numId="18" w16cid:durableId="1434014312">
    <w:abstractNumId w:val="31"/>
  </w:num>
  <w:num w:numId="19" w16cid:durableId="832065860">
    <w:abstractNumId w:val="34"/>
  </w:num>
  <w:num w:numId="20" w16cid:durableId="667943464">
    <w:abstractNumId w:val="39"/>
  </w:num>
  <w:num w:numId="21" w16cid:durableId="225343112">
    <w:abstractNumId w:val="38"/>
  </w:num>
  <w:num w:numId="22" w16cid:durableId="1319532336">
    <w:abstractNumId w:val="13"/>
  </w:num>
  <w:num w:numId="23" w16cid:durableId="1341154147">
    <w:abstractNumId w:val="26"/>
  </w:num>
  <w:num w:numId="24" w16cid:durableId="796413596">
    <w:abstractNumId w:val="20"/>
  </w:num>
  <w:num w:numId="25" w16cid:durableId="2010979537">
    <w:abstractNumId w:val="40"/>
  </w:num>
  <w:num w:numId="26" w16cid:durableId="951936802">
    <w:abstractNumId w:val="25"/>
  </w:num>
  <w:num w:numId="27" w16cid:durableId="1672954226">
    <w:abstractNumId w:val="3"/>
  </w:num>
  <w:num w:numId="28" w16cid:durableId="953906591">
    <w:abstractNumId w:val="6"/>
  </w:num>
  <w:num w:numId="29" w16cid:durableId="923606003">
    <w:abstractNumId w:val="37"/>
  </w:num>
  <w:num w:numId="30" w16cid:durableId="299457400">
    <w:abstractNumId w:val="23"/>
  </w:num>
  <w:num w:numId="31" w16cid:durableId="1958028445">
    <w:abstractNumId w:val="24"/>
  </w:num>
  <w:num w:numId="32" w16cid:durableId="212545389">
    <w:abstractNumId w:val="8"/>
  </w:num>
  <w:num w:numId="33" w16cid:durableId="111411800">
    <w:abstractNumId w:val="35"/>
  </w:num>
  <w:num w:numId="34" w16cid:durableId="944458871">
    <w:abstractNumId w:val="17"/>
  </w:num>
  <w:num w:numId="35" w16cid:durableId="766652392">
    <w:abstractNumId w:val="11"/>
  </w:num>
  <w:num w:numId="36" w16cid:durableId="1823738884">
    <w:abstractNumId w:val="10"/>
  </w:num>
  <w:num w:numId="37" w16cid:durableId="479690615">
    <w:abstractNumId w:val="15"/>
  </w:num>
  <w:num w:numId="38" w16cid:durableId="965350622">
    <w:abstractNumId w:val="19"/>
  </w:num>
  <w:num w:numId="39" w16cid:durableId="2073116796">
    <w:abstractNumId w:val="5"/>
  </w:num>
  <w:num w:numId="40" w16cid:durableId="421529058">
    <w:abstractNumId w:val="29"/>
  </w:num>
  <w:num w:numId="41" w16cid:durableId="1895044406">
    <w:abstractNumId w:val="21"/>
  </w:num>
  <w:num w:numId="42" w16cid:durableId="1698462425">
    <w:abstractNumId w:val="12"/>
  </w:num>
  <w:num w:numId="43" w16cid:durableId="6273947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7417</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2024-04-26T09:57:00Z</dcterms:created>
  <dcterms:modified xsi:type="dcterms:W3CDTF">2024-04-26T09:57:00Z</dcterms:modified>
</cp:coreProperties>
</file>